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AD" w:rsidRPr="003878AD" w:rsidRDefault="003878AD" w:rsidP="003878AD">
      <w:pPr>
        <w:shd w:val="clear" w:color="auto" w:fill="FFFFFF"/>
        <w:spacing w:before="400" w:after="0" w:line="360" w:lineRule="auto"/>
        <w:ind w:firstLine="709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aps/>
          <w:spacing w:val="-1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b/>
          <w:bCs/>
          <w:caps/>
          <w:spacing w:val="-10"/>
          <w:sz w:val="28"/>
          <w:szCs w:val="28"/>
          <w:lang w:eastAsia="ru-RU"/>
        </w:rPr>
        <w:t>ФУНКЦИОНАЛЬНАЯ ГРАМОТНОСТЬ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Индикатором качества образования в части формирования функциональной грамотности является международное исследование PISA. Исследование PISA ставит своей целью проверку наличия таких умений, которые должны помочь молодежи в их «взрослой» жизни.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функциональной грамотности: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Читательская грамотность – способность человека понимать и использовать </w:t>
      </w:r>
      <w:proofErr w:type="gramStart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</w:t>
      </w:r>
      <w:proofErr w:type="gramEnd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 - способность человека занимать активную гражданскую позицию по вопросам, связанным с </w:t>
      </w:r>
      <w:proofErr w:type="spellStart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естественно-научными</w:t>
      </w:r>
      <w:proofErr w:type="spellEnd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идеями: научно объяснять явления; понимать особенности </w:t>
      </w:r>
      <w:proofErr w:type="spellStart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spellEnd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исследования; интерпретировать данные и использовать научные доказательства.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Математическая грамотность -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Финансовая грамотность – знание и понимание финансовых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spellStart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Креативное</w:t>
      </w:r>
      <w:proofErr w:type="spellEnd"/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мышление.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Глобальные компетенции. Под глобальными компетенциями в исследовании понимаются способности: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критически рассматривать с различных точек зрения проблемы глобального характера и межкультурного взаимодействия;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3878AD" w:rsidRP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3878AD" w:rsidRDefault="003878AD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компетенции включают способность эффективно действовать индивидуально или в группе в различных ситуациях. Оцениваются также заинтересованность и осведомленность о глобальных тенденциях развития, управление поведением, открытость к новому, эмоциональное восприятие нового.</w:t>
      </w:r>
    </w:p>
    <w:p w:rsidR="00AA3B18" w:rsidRDefault="00AA3B18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B18" w:rsidRDefault="00AA3B18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3B1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Ресурсы для формирования функциональной грамотности учащихся</w:t>
      </w:r>
    </w:p>
    <w:tbl>
      <w:tblPr>
        <w:tblW w:w="927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37"/>
        <w:gridCol w:w="3959"/>
        <w:gridCol w:w="3281"/>
      </w:tblGrid>
      <w:tr w:rsidR="009D0732" w:rsidRPr="009D0732" w:rsidTr="009D0732">
        <w:trPr>
          <w:jc w:val="center"/>
        </w:trPr>
        <w:tc>
          <w:tcPr>
            <w:tcW w:w="2037" w:type="dxa"/>
            <w:vMerge w:val="restart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 xml:space="preserve">ФГБНУ «Институт </w:t>
            </w:r>
            <w:proofErr w:type="gramStart"/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стратегии развития образования Российской академии образования</w:t>
            </w:r>
            <w:proofErr w:type="gramEnd"/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Демонстрационные материалы для оценки функциональной грамотности обучающихся 5,7 классов</w:t>
            </w:r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4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http://skiv.instrao.ru/support/demonstratsionnye-materialya/</w:t>
              </w:r>
            </w:hyperlink>
          </w:p>
        </w:tc>
      </w:tr>
      <w:tr w:rsidR="009D0732" w:rsidRPr="009D0732" w:rsidTr="009D0732">
        <w:trPr>
          <w:jc w:val="center"/>
        </w:trPr>
        <w:tc>
          <w:tcPr>
            <w:tcW w:w="2037" w:type="dxa"/>
            <w:vMerge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Банк заданий для формирования и оценки функциональной грамотности обучающихся основной школы</w:t>
            </w:r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5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http://skiv.instrao.ru/bank-zadaniy/</w:t>
              </w:r>
            </w:hyperlink>
          </w:p>
        </w:tc>
      </w:tr>
      <w:tr w:rsidR="009D0732" w:rsidRPr="009D0732" w:rsidTr="009D0732">
        <w:trPr>
          <w:jc w:val="center"/>
        </w:trPr>
        <w:tc>
          <w:tcPr>
            <w:tcW w:w="2037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ФГБНУ «Федеральный институт педагогических измерений» </w:t>
            </w: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 xml:space="preserve">Открытый банк заданий для оценки естественнонаучной грамотности </w:t>
            </w:r>
            <w:r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7,9 классов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6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https://fipi.ru/otkrytyy-bank-zadaniy-dlya-otsenki-yestestvennonauchnoy-gramotnosti</w:t>
              </w:r>
            </w:hyperlink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</w:tr>
      <w:tr w:rsidR="009D0732" w:rsidRPr="009D0732" w:rsidTr="009D0732">
        <w:trPr>
          <w:jc w:val="center"/>
        </w:trPr>
        <w:tc>
          <w:tcPr>
            <w:tcW w:w="2037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"Российская электронная школа"</w:t>
            </w: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Электронный банк заданий для оценки функциональной грамотности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7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https://media.prosv.ru/fg/</w:t>
              </w:r>
            </w:hyperlink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</w:tr>
      <w:tr w:rsidR="009D0732" w:rsidRPr="009D0732" w:rsidTr="009D0732">
        <w:trPr>
          <w:jc w:val="center"/>
        </w:trPr>
        <w:tc>
          <w:tcPr>
            <w:tcW w:w="2037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lastRenderedPageBreak/>
              <w:t>Группа компаний «Просвещение</w:t>
            </w: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Банк заданий по функциональной грамотности</w:t>
            </w:r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8" w:tgtFrame="_blank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https://fg.resh.edu.ru/</w:t>
              </w:r>
            </w:hyperlink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</w:tr>
      <w:tr w:rsidR="009D0732" w:rsidRPr="009D0732" w:rsidTr="009D0732">
        <w:trPr>
          <w:jc w:val="center"/>
        </w:trPr>
        <w:tc>
          <w:tcPr>
            <w:tcW w:w="2037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ФГБУ «Федеральный институт оценки качество образования»</w:t>
            </w:r>
          </w:p>
        </w:tc>
        <w:tc>
          <w:tcPr>
            <w:tcW w:w="3959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      </w:r>
          </w:p>
        </w:tc>
        <w:tc>
          <w:tcPr>
            <w:tcW w:w="3281" w:type="dxa"/>
            <w:tcBorders>
              <w:top w:val="single" w:sz="4" w:space="0" w:color="20214F"/>
              <w:left w:val="single" w:sz="4" w:space="0" w:color="20214F"/>
              <w:bottom w:val="single" w:sz="4" w:space="0" w:color="20214F"/>
              <w:right w:val="single" w:sz="4" w:space="0" w:color="20214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9D0732" w:rsidRPr="009D0732" w:rsidRDefault="009D0732" w:rsidP="009D07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hyperlink r:id="rId9" w:history="1">
              <w:r w:rsidRPr="009D073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http://center-imc.ru/wp-content/uploads/2020/02/10120.pdf</w:t>
              </w:r>
            </w:hyperlink>
          </w:p>
          <w:p w:rsidR="009D0732" w:rsidRPr="009D0732" w:rsidRDefault="009D0732" w:rsidP="009D0732">
            <w:pPr>
              <w:spacing w:after="50" w:line="240" w:lineRule="auto"/>
              <w:textAlignment w:val="bottom"/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</w:pPr>
            <w:r w:rsidRPr="009D0732">
              <w:rPr>
                <w:rFonts w:ascii="Times New Roman" w:eastAsia="Times New Roman" w:hAnsi="Times New Roman" w:cs="Times New Roman"/>
                <w:color w:val="20214F"/>
                <w:sz w:val="28"/>
                <w:szCs w:val="28"/>
                <w:lang w:eastAsia="ru-RU"/>
              </w:rPr>
              <w:t> </w:t>
            </w:r>
          </w:p>
        </w:tc>
      </w:tr>
    </w:tbl>
    <w:p w:rsidR="00AA3B18" w:rsidRPr="003878AD" w:rsidRDefault="00AA3B18" w:rsidP="003878AD">
      <w:pPr>
        <w:shd w:val="clear" w:color="auto" w:fill="FFFFFF"/>
        <w:spacing w:after="5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A3B18" w:rsidRPr="003878AD" w:rsidSect="003878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9C3"/>
    <w:rsid w:val="003878AD"/>
    <w:rsid w:val="00932349"/>
    <w:rsid w:val="009D0732"/>
    <w:rsid w:val="00AA3B18"/>
    <w:rsid w:val="00B419C3"/>
    <w:rsid w:val="00E6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subname">
    <w:name w:val="user-account__subname"/>
    <w:basedOn w:val="a0"/>
    <w:rsid w:val="003878AD"/>
  </w:style>
  <w:style w:type="character" w:customStyle="1" w:styleId="20">
    <w:name w:val="Заголовок 2 Знак"/>
    <w:basedOn w:val="a0"/>
    <w:link w:val="2"/>
    <w:uiPriority w:val="9"/>
    <w:rsid w:val="00387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B18"/>
    <w:rPr>
      <w:b/>
      <w:bCs/>
    </w:rPr>
  </w:style>
  <w:style w:type="character" w:styleId="a5">
    <w:name w:val="Hyperlink"/>
    <w:basedOn w:val="a0"/>
    <w:uiPriority w:val="99"/>
    <w:semiHidden/>
    <w:unhideWhenUsed/>
    <w:rsid w:val="009D0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f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tkrytyy-bank-zadaniy-dlya-otsenki-yestestvennonauchnoy-gramotno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iv.instrao.ru/bank-zadani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kiv.instrao.ru/support/demonstratsionnye-materialya/" TargetMode="External"/><Relationship Id="rId9" Type="http://schemas.openxmlformats.org/officeDocument/2006/relationships/hyperlink" Target="http://center-imc.ru/wp-content/uploads/2020/02/101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Хозяин)</dc:creator>
  <cp:keywords/>
  <dc:description/>
  <cp:lastModifiedBy>Хозяин)</cp:lastModifiedBy>
  <cp:revision>6</cp:revision>
  <dcterms:created xsi:type="dcterms:W3CDTF">2022-01-28T11:21:00Z</dcterms:created>
  <dcterms:modified xsi:type="dcterms:W3CDTF">2022-01-28T11:33:00Z</dcterms:modified>
</cp:coreProperties>
</file>